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Nunito" w:cs="Nunito" w:eastAsia="Nunito" w:hAnsi="Nunito"/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6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66"/>
        <w:tblGridChange w:id="0">
          <w:tblGrid>
            <w:gridCol w:w="10466"/>
          </w:tblGrid>
        </w:tblGridChange>
      </w:tblGrid>
      <w:tr>
        <w:trPr>
          <w:cantSplit w:val="0"/>
          <w:tblHeader w:val="0"/>
        </w:trPr>
        <w:tc>
          <w:tcPr>
            <w:shd w:fill="75f5d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Nunito" w:cs="Nunito" w:eastAsia="Nunito" w:hAnsi="Nunito"/>
                <w:b w:val="1"/>
                <w:sz w:val="48"/>
                <w:szCs w:val="48"/>
                <w:u w:val="singl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48"/>
                <w:szCs w:val="48"/>
                <w:u w:val="single"/>
                <w:rtl w:val="0"/>
              </w:rPr>
              <w:t xml:space="preserve">Patu Unit</w:t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>
          <w:rFonts w:ascii="Nunito" w:cs="Nunito" w:eastAsia="Nunito" w:hAnsi="Nunito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0.0" w:type="dxa"/>
        <w:jc w:val="left"/>
        <w:tblInd w:w="-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10"/>
        <w:gridCol w:w="1710"/>
        <w:gridCol w:w="3675"/>
        <w:gridCol w:w="2175"/>
        <w:tblGridChange w:id="0">
          <w:tblGrid>
            <w:gridCol w:w="3210"/>
            <w:gridCol w:w="1710"/>
            <w:gridCol w:w="3675"/>
            <w:gridCol w:w="2175"/>
          </w:tblGrid>
        </w:tblGridChange>
      </w:tblGrid>
      <w:tr>
        <w:trPr>
          <w:cantSplit w:val="0"/>
          <w:trHeight w:val="1440.0000000000002" w:hRule="atLeast"/>
          <w:tblHeader w:val="0"/>
        </w:trPr>
        <w:tc>
          <w:tcPr>
            <w:gridSpan w:val="4"/>
            <w:shd w:fill="75f5d5" w:val="clear"/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>
                <w:rFonts w:ascii="Nunito" w:cs="Nunito" w:eastAsia="Nunito" w:hAnsi="Nuni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>
                <w:rFonts w:ascii="Nunito" w:cs="Nunito" w:eastAsia="Nunito" w:hAnsi="Nuni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4"/>
                <w:szCs w:val="24"/>
                <w:rtl w:val="0"/>
              </w:rPr>
              <w:t xml:space="preserve">Major Learning Intentions:</w:t>
            </w:r>
          </w:p>
          <w:p w:rsidR="00000000" w:rsidDel="00000000" w:rsidP="00000000" w:rsidRDefault="00000000" w:rsidRPr="00000000" w14:paraId="00000006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We are learning to demonstrate an understanding of icons and symbols.</w:t>
            </w:r>
          </w:p>
          <w:p w:rsidR="00000000" w:rsidDel="00000000" w:rsidP="00000000" w:rsidRDefault="00000000" w:rsidRPr="00000000" w14:paraId="00000007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Learning to understand that (how) different cultures use icons and symbols to communicate their values.</w:t>
            </w:r>
          </w:p>
          <w:p w:rsidR="00000000" w:rsidDel="00000000" w:rsidP="00000000" w:rsidRDefault="00000000" w:rsidRPr="00000000" w14:paraId="00000008">
            <w:pPr>
              <w:pageBreakBefore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ind w:left="0" w:firstLine="0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4"/>
            <w:shd w:fill="4d4d4f" w:val="clear"/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jc w:val="center"/>
              <w:rPr>
                <w:rFonts w:ascii="Nunito" w:cs="Nunito" w:eastAsia="Nunito" w:hAnsi="Nuni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ffffff"/>
                <w:sz w:val="20"/>
                <w:szCs w:val="20"/>
                <w:rtl w:val="0"/>
              </w:rPr>
              <w:t xml:space="preserve">Values I will be focusing on and how they will be incorporated into this unit.  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b6d7a8" w:val="clear"/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jc w:val="center"/>
              <w:rPr>
                <w:rFonts w:ascii="Alfa Slab One" w:cs="Alfa Slab One" w:eastAsia="Alfa Slab One" w:hAnsi="Alfa Slab One"/>
                <w:sz w:val="20"/>
                <w:szCs w:val="20"/>
              </w:rPr>
            </w:pPr>
            <w:r w:rsidDel="00000000" w:rsidR="00000000" w:rsidRPr="00000000">
              <w:rPr>
                <w:rFonts w:ascii="Alfa Slab One" w:cs="Alfa Slab One" w:eastAsia="Alfa Slab One" w:hAnsi="Alfa Slab One"/>
                <w:sz w:val="20"/>
                <w:szCs w:val="20"/>
                <w:rtl w:val="0"/>
              </w:rPr>
              <w:t xml:space="preserve">School Values:</w:t>
            </w:r>
          </w:p>
        </w:tc>
        <w:tc>
          <w:tcPr>
            <w:gridSpan w:val="3"/>
            <w:shd w:fill="b6d7a8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lfa Slab One" w:cs="Alfa Slab One" w:eastAsia="Alfa Slab One" w:hAnsi="Alfa Slab One"/>
                <w:sz w:val="20"/>
                <w:szCs w:val="20"/>
              </w:rPr>
            </w:pPr>
            <w:r w:rsidDel="00000000" w:rsidR="00000000" w:rsidRPr="00000000">
              <w:rPr>
                <w:rFonts w:ascii="Alfa Slab One" w:cs="Alfa Slab One" w:eastAsia="Alfa Slab One" w:hAnsi="Alfa Slab One"/>
                <w:sz w:val="20"/>
                <w:szCs w:val="20"/>
                <w:rtl w:val="0"/>
              </w:rPr>
              <w:t xml:space="preserve">What this will look like in the classroom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Manaakitanga </w:t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(Respect)  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6">
            <w:pPr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Being respectful about other people’s cultures.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Rangatiratanga </w:t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(Leadership)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Whanaungatanga </w:t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(Belonging) 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Using different images and symbols is okay.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Hiranga </w:t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(Striving for Excellence)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Producing quality workmanship.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Rereketanga </w:t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(Diversity)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Learning about and accepting other people’s cultures.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Matatautanga </w:t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(Learning)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Painting &amp; transfer, gluing techniques, eye-hand coordination.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Kaitiatanga </w:t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(Sustainability) 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Using harakeke material - biodegradable.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4d4d4f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ffffff"/>
                <w:sz w:val="20"/>
                <w:szCs w:val="20"/>
                <w:rtl w:val="0"/>
              </w:rPr>
              <w:t xml:space="preserve">Key Competencies I will be focusing on and how they will be incorporated into this unit.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9fc5e8" w:val="clear"/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jc w:val="center"/>
              <w:rPr>
                <w:rFonts w:ascii="Alfa Slab One" w:cs="Alfa Slab One" w:eastAsia="Alfa Slab One" w:hAnsi="Alfa Slab One"/>
                <w:sz w:val="20"/>
                <w:szCs w:val="20"/>
              </w:rPr>
            </w:pPr>
            <w:r w:rsidDel="00000000" w:rsidR="00000000" w:rsidRPr="00000000">
              <w:rPr>
                <w:rFonts w:ascii="Alfa Slab One" w:cs="Alfa Slab One" w:eastAsia="Alfa Slab One" w:hAnsi="Alfa Slab One"/>
                <w:sz w:val="20"/>
                <w:szCs w:val="20"/>
                <w:rtl w:val="0"/>
              </w:rPr>
              <w:t xml:space="preserve">Key Competencies:</w:t>
            </w:r>
          </w:p>
        </w:tc>
        <w:tc>
          <w:tcPr>
            <w:gridSpan w:val="3"/>
            <w:shd w:fill="9fc5e8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lfa Slab One" w:cs="Alfa Slab One" w:eastAsia="Alfa Slab One" w:hAnsi="Alfa Slab One"/>
                <w:sz w:val="20"/>
                <w:szCs w:val="20"/>
              </w:rPr>
            </w:pPr>
            <w:r w:rsidDel="00000000" w:rsidR="00000000" w:rsidRPr="00000000">
              <w:rPr>
                <w:rFonts w:ascii="Alfa Slab One" w:cs="Alfa Slab One" w:eastAsia="Alfa Slab One" w:hAnsi="Alfa Slab One"/>
                <w:sz w:val="20"/>
                <w:szCs w:val="20"/>
                <w:rtl w:val="0"/>
              </w:rPr>
              <w:t xml:space="preserve">What this will look like in the classroom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Thinking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Decision making about; layering paint; colours; masking tape; symbols &amp; text.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Relating to</w:t>
            </w: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others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E">
            <w:pPr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Being respectful about other people’s cultures.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Using lang, symbols, and texts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NZ symbols; cultural symbols and colours, cultural context.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Managing self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Using the materials correctly and appropriately, follows instructions.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Participating and contributing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>
                <w:rFonts w:ascii="Comfortaa" w:cs="Comfortaa" w:eastAsia="Comfortaa" w:hAnsi="Comfortaa"/>
                <w:sz w:val="18"/>
                <w:szCs w:val="18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18"/>
                <w:szCs w:val="18"/>
                <w:rtl w:val="0"/>
              </w:rPr>
              <w:t xml:space="preserve">Helping each other with the flax plating.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shd w:fill="f9cb9c" w:val="clear"/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jc w:val="center"/>
              <w:rPr>
                <w:rFonts w:ascii="Alfa Slab One" w:cs="Alfa Slab One" w:eastAsia="Alfa Slab One" w:hAnsi="Alfa Slab One"/>
                <w:sz w:val="20"/>
                <w:szCs w:val="20"/>
              </w:rPr>
            </w:pPr>
            <w:r w:rsidDel="00000000" w:rsidR="00000000" w:rsidRPr="00000000">
              <w:rPr>
                <w:rFonts w:ascii="Alfa Slab One" w:cs="Alfa Slab One" w:eastAsia="Alfa Slab One" w:hAnsi="Alfa Slab One"/>
                <w:sz w:val="20"/>
                <w:szCs w:val="20"/>
                <w:rtl w:val="0"/>
              </w:rPr>
              <w:t xml:space="preserve">Curriculum Links</w:t>
            </w:r>
          </w:p>
        </w:tc>
        <w:tc>
          <w:tcPr>
            <w:gridSpan w:val="3"/>
            <w:shd w:fill="f9cb9c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lfa Slab One" w:cs="Alfa Slab One" w:eastAsia="Alfa Slab One" w:hAnsi="Alfa Slab One"/>
                <w:sz w:val="20"/>
                <w:szCs w:val="20"/>
              </w:rPr>
            </w:pPr>
            <w:r w:rsidDel="00000000" w:rsidR="00000000" w:rsidRPr="00000000">
              <w:rPr>
                <w:rFonts w:ascii="Alfa Slab One" w:cs="Alfa Slab One" w:eastAsia="Alfa Slab One" w:hAnsi="Alfa Slab One"/>
                <w:sz w:val="20"/>
                <w:szCs w:val="20"/>
                <w:rtl w:val="0"/>
              </w:rPr>
              <w:t xml:space="preserve">Achievement Objectives that will be a focus. 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fce5cd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Understanding the Arts in Context - Level 4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Investigate the purpose of objects and images from past and present cultures and identify the contexts in which they are made, viewed, and valued.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Developing Practical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Knowledge - Level 4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Explore and use art-making conventions, applying knowledge of elements and selected principles through the use of materials and processes.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Developing Ideas - Level 4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Develop and revisit visual ideas, in response to a variety of motivations, observation, and imagination, supported by the study of artists’ works.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Communicating and Interpreting - Level 4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sz w:val="20"/>
                <w:szCs w:val="20"/>
                <w:rtl w:val="0"/>
              </w:rPr>
              <w:t xml:space="preserve">Explore and describe ways in which meanings can be communicated and interpreted in their own and others’ work.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fce5cd" w:val="clear"/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ageBreakBefore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rFonts w:ascii="Nunito" w:cs="Nunito" w:eastAsia="Nunito" w:hAnsi="Nunito"/>
                  <w:color w:val="1155cc"/>
                  <w:sz w:val="20"/>
                  <w:szCs w:val="20"/>
                  <w:u w:val="single"/>
                  <w:rtl w:val="0"/>
                </w:rPr>
                <w:t xml:space="preserve">NCEA  - Resources for Internally Assessed Achievement Standards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spacing w:line="240" w:lineRule="auto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ce5cd" w:val="clear"/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ind w:left="0" w:firstLine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ageBreakBefore w:val="0"/>
              <w:spacing w:line="240" w:lineRule="auto"/>
              <w:ind w:left="0" w:firstLine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ind w:left="0" w:firstLine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ind w:left="0" w:firstLine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ind w:left="0" w:firstLine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ind w:left="0" w:firstLine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ind w:left="0" w:firstLine="0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" w:hRule="atLeast"/>
          <w:tblHeader w:val="0"/>
        </w:trPr>
        <w:tc>
          <w:tcPr>
            <w:gridSpan w:val="3"/>
            <w:shd w:fill="75f5d5" w:val="clear"/>
          </w:tcPr>
          <w:p w:rsidR="00000000" w:rsidDel="00000000" w:rsidP="00000000" w:rsidRDefault="00000000" w:rsidRPr="00000000" w14:paraId="0000007F">
            <w:pPr>
              <w:pageBreakBefore w:val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TOPIC ACTIVITIES/LESSON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81">
            <w:pPr>
              <w:pageBreakBefore w:val="0"/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5f5d5" w:val="clear"/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jc w:val="center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spacing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0"/>
                <w:szCs w:val="20"/>
                <w:rtl w:val="0"/>
              </w:rPr>
              <w:t xml:space="preserve">RESOURCES/NOTES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jc w:val="center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u w:val="single"/>
                <w:rtl w:val="0"/>
              </w:rPr>
              <w:t xml:space="preserve">Lesson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u w:val="single"/>
                <w:rtl w:val="0"/>
              </w:rPr>
              <w:t xml:space="preserve">W.AL.T’s/Questions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We are learning to demonstrate an understanding of icons and symbols.</w:t>
            </w:r>
          </w:p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Learning to understand that (how) different cultures use icons and symbols to communicate their values.</w:t>
            </w:r>
          </w:p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Show the slide </w:t>
            </w:r>
            <w:hyperlink r:id="rId7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Patu - copy for ANZZAE Conference 2023</w:t>
              </w:r>
            </w:hyperlink>
            <w:r w:rsidDel="00000000" w:rsidR="00000000" w:rsidRPr="00000000">
              <w:rPr>
                <w:rtl w:val="0"/>
              </w:rPr>
              <w:t xml:space="preserve"> discuss the artist model - discuss what symbols and icons are.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Each student will paint a white undercoat onto both sides of their patu, put aside to dry.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 their planning, each student traces the patu template 3 times onto A4 paper.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They must generate 3 different designs.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Their chosen design do needs to include;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position of the masking tape(s);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painted image;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some text - this could be collage;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 piece of paper collage from a magazine etc.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Can each student name or describe an icon?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Materials: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Wooden patu, cardboard patu templates, paint for undercoating, A4 paper, pencils.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>
                <w:rFonts w:ascii="Alfa Slab One" w:cs="Alfa Slab One" w:eastAsia="Alfa Slab One" w:hAnsi="Alfa Slab One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u w:val="single"/>
                <w:rtl w:val="0"/>
              </w:rPr>
              <w:t xml:space="preserve">Lesson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spacing w:line="240" w:lineRule="auto"/>
              <w:rPr>
                <w:rFonts w:ascii="Nunito" w:cs="Nunito" w:eastAsia="Nunito" w:hAnsi="Nunito"/>
                <w:b w:val="1"/>
                <w:u w:val="singl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u w:val="single"/>
                <w:rtl w:val="0"/>
              </w:rPr>
              <w:t xml:space="preserve">W.AL.T’s/Questions</w:t>
            </w:r>
          </w:p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ageBreakBefore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Students will apply another undercoat onto their patu.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Students continue with their 3 designs.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Choose one of the designs. Lay down the masking tape(s)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Pencil their design onto the patu.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paint (and other media) to apply the first coat/layer  of their design. Let that dry. Students apply a second coat/layer. Dry. Remove masking tape.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magazines or specific symbols or patterns downloaded and printed in colour - to collage onto their patu.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Materials: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Masking tape; acrylic paints, magazines, PVA glue, wooden patu, cardboard patu templates, paint for undercoating, A4 paper, pencils.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pageBreakBefore w:val="0"/>
              <w:spacing w:line="240" w:lineRule="auto"/>
              <w:rPr>
                <w:rFonts w:ascii="Alfa Slab One" w:cs="Alfa Slab One" w:eastAsia="Alfa Slab One" w:hAnsi="Alfa Slab One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u w:val="single"/>
                <w:rtl w:val="0"/>
              </w:rPr>
              <w:t xml:space="preserve">Lesson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ageBreakBefore w:val="0"/>
              <w:spacing w:line="240" w:lineRule="auto"/>
              <w:rPr>
                <w:rFonts w:ascii="Nunito" w:cs="Nunito" w:eastAsia="Nunito" w:hAnsi="Nunito"/>
                <w:b w:val="1"/>
                <w:u w:val="singl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u w:val="single"/>
                <w:rtl w:val="0"/>
              </w:rPr>
              <w:t xml:space="preserve">W.AL.T’s/Questions</w:t>
            </w:r>
          </w:p>
          <w:p w:rsidR="00000000" w:rsidDel="00000000" w:rsidP="00000000" w:rsidRDefault="00000000" w:rsidRPr="00000000" w14:paraId="000000B0">
            <w:pPr>
              <w:pageBreakBefore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ageBreakBefore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We are learning how to protect paintings with a glaze. </w:t>
            </w:r>
          </w:p>
          <w:p w:rsidR="00000000" w:rsidDel="00000000" w:rsidP="00000000" w:rsidRDefault="00000000" w:rsidRPr="00000000" w14:paraId="000000B2">
            <w:pPr>
              <w:pageBreakBefore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ageBreakBefore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How to use natural materials in a traditional manner.</w:t>
            </w:r>
          </w:p>
          <w:p w:rsidR="00000000" w:rsidDel="00000000" w:rsidP="00000000" w:rsidRDefault="00000000" w:rsidRPr="00000000" w14:paraId="000000B4">
            <w:pPr>
              <w:pageBreakBefore w:val="0"/>
              <w:spacing w:line="240" w:lineRule="auto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ageBreakBefore w:val="0"/>
              <w:spacing w:line="240" w:lineRule="auto"/>
              <w:rPr>
                <w:rFonts w:ascii="Nunito" w:cs="Nunito" w:eastAsia="Nunito" w:hAnsi="Nunito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Continue with the lesson from the previous day.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When the patu is fully decorated to both, the teacher’s and the students approval, it must be dry as a bone before applying a PVA glue type glaze - or use other final glazing/vanish material.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Platt some harakeke strands to make a small length of rope to tie onto the end of the patu - this is the tau or wrist cord.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Materials: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Harakeke fibres, PVA glue, acrylic paints, magazines, wooden patu, cardboard patu templates, paint for undercoating, A4 paper, pencils.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pageBreakBefore w:val="0"/>
              <w:rPr>
                <w:rFonts w:ascii="Nunito" w:cs="Nunito" w:eastAsia="Nunito" w:hAnsi="Nunito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u w:val="single"/>
                <w:rtl w:val="0"/>
              </w:rPr>
              <w:t xml:space="preserve">Lesson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rPr>
                <w:rFonts w:ascii="Nunito" w:cs="Nunito" w:eastAsia="Nunito" w:hAnsi="Nuni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u w:val="single"/>
                <w:rtl w:val="0"/>
              </w:rPr>
              <w:t xml:space="preserve">W.AL.T’s/Questions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Continue with the lesson from the previous day.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15.0" w:type="dxa"/>
        <w:jc w:val="left"/>
        <w:tblInd w:w="-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15"/>
        <w:gridCol w:w="2595"/>
        <w:gridCol w:w="2595"/>
        <w:gridCol w:w="2910"/>
        <w:tblGridChange w:id="0">
          <w:tblGrid>
            <w:gridCol w:w="2715"/>
            <w:gridCol w:w="2595"/>
            <w:gridCol w:w="2595"/>
            <w:gridCol w:w="291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Reflection: (in this case - notes for the ANZAAE Conference delegates)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One of the benefits of aiming at 3 designs from each student is that you should get at least 1 design from every student. Being insistent on the production of 3 designs can prevent a rushed half hearted attempt at their planning. (Students are often extremely keen to just start painting their patu).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4"/>
                <w:szCs w:val="24"/>
              </w:rPr>
            </w:pPr>
            <w:r w:rsidDel="00000000" w:rsidR="00000000" w:rsidRPr="00000000">
              <w:rPr>
                <w:rFonts w:ascii="Nunito" w:cs="Nunito" w:eastAsia="Nunito" w:hAnsi="Nunito"/>
                <w:sz w:val="24"/>
                <w:szCs w:val="24"/>
                <w:rtl w:val="0"/>
              </w:rPr>
              <w:t xml:space="preserve">Patu - and other weaponry - were symbols of chieftainship and regarded as valuable heirlooms and sometimes used on ceremonial occasions. Some patu were adorned with carvings that may have represented; a deity or protector (poukaiora) for the user; a deity or protector to help the user overcome his opponent; </w:t>
            </w:r>
          </w:p>
        </w:tc>
      </w:tr>
    </w:tbl>
    <w:p w:rsidR="00000000" w:rsidDel="00000000" w:rsidP="00000000" w:rsidRDefault="00000000" w:rsidRPr="00000000" w14:paraId="000000D2">
      <w:pPr>
        <w:pageBreakBefore w:val="0"/>
        <w:spacing w:line="24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36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Alfa Slab One">
    <w:embedRegular w:fontKey="{00000000-0000-0000-0000-000000000000}" r:id="rId9" w:subsetted="0"/>
  </w:font>
  <w:font w:name="Comfortaa">
    <w:embedRegular w:fontKey="{00000000-0000-0000-0000-000000000000}" r:id="rId10" w:subsetted="0"/>
    <w:embedBold w:fontKey="{00000000-0000-0000-0000-000000000000}" r:id="rId1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ncea.tki.org.nz/Resources-for-Internally-Assessed-Achievement-Standards" TargetMode="External"/><Relationship Id="rId7" Type="http://schemas.openxmlformats.org/officeDocument/2006/relationships/hyperlink" Target="https://docs.google.com/presentation/d/1qcuDbnVpcjC3jdZez5r4AX20f8wGG3npeiaPpVPkkhc/edit#slide=id.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11" Type="http://schemas.openxmlformats.org/officeDocument/2006/relationships/font" Target="fonts/Comfortaa-bold.ttf"/><Relationship Id="rId10" Type="http://schemas.openxmlformats.org/officeDocument/2006/relationships/font" Target="fonts/Comfortaa-regular.ttf"/><Relationship Id="rId9" Type="http://schemas.openxmlformats.org/officeDocument/2006/relationships/font" Target="fonts/AlfaSlabOne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